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30" w:rsidRPr="008366B1" w:rsidRDefault="00B10BF4" w:rsidP="00F77130">
      <w:pPr>
        <w:rPr>
          <w:b/>
        </w:rPr>
      </w:pPr>
      <w:bookmarkStart w:id="0" w:name="_GoBack"/>
      <w:bookmarkEnd w:id="0"/>
      <w:r w:rsidRPr="008366B1">
        <w:rPr>
          <w:b/>
        </w:rPr>
        <w:t>Stavební firmy platí svým dodavatelům víc než měsíc po splatnosti, nejpozději za posledních pět let</w:t>
      </w:r>
    </w:p>
    <w:p w:rsidR="008366B1" w:rsidRDefault="008366B1" w:rsidP="009603B6">
      <w:pPr>
        <w:jc w:val="both"/>
        <w:rPr>
          <w:b/>
          <w:sz w:val="20"/>
          <w:szCs w:val="20"/>
        </w:rPr>
      </w:pPr>
    </w:p>
    <w:p w:rsidR="00F77130" w:rsidRDefault="00B10BF4" w:rsidP="009603B6">
      <w:pPr>
        <w:jc w:val="both"/>
        <w:rPr>
          <w:b/>
          <w:sz w:val="20"/>
          <w:szCs w:val="20"/>
        </w:rPr>
      </w:pPr>
      <w:r w:rsidRPr="008366B1">
        <w:rPr>
          <w:b/>
          <w:sz w:val="20"/>
          <w:szCs w:val="20"/>
        </w:rPr>
        <w:t xml:space="preserve">Dodavatelé tuzemských stavebních firem museli letos na jaře čekat na peníze za své zboží nejdéle v pětileté historii – 96 dní od data vystavení faktury. </w:t>
      </w:r>
      <w:r w:rsidR="008366B1" w:rsidRPr="008366B1">
        <w:rPr>
          <w:b/>
          <w:sz w:val="20"/>
          <w:szCs w:val="20"/>
        </w:rPr>
        <w:t xml:space="preserve">Znamená to, že stavaři platí s více než měsíčním zpožděním proti datu splatnosti. Vyplývá to z oficiálních údajů společnosti ČSOB Factoring, která dlouhodobě sleduje platební morálku </w:t>
      </w:r>
      <w:r w:rsidR="008366B1">
        <w:rPr>
          <w:b/>
          <w:sz w:val="20"/>
          <w:szCs w:val="20"/>
        </w:rPr>
        <w:t xml:space="preserve">firem v Česku. Právě stavebnictví z nich vychází jako obor, který se </w:t>
      </w:r>
      <w:r w:rsidR="00171740">
        <w:rPr>
          <w:b/>
          <w:sz w:val="20"/>
          <w:szCs w:val="20"/>
        </w:rPr>
        <w:t xml:space="preserve">už řadu let </w:t>
      </w:r>
      <w:r w:rsidR="008366B1">
        <w:rPr>
          <w:b/>
          <w:sz w:val="20"/>
          <w:szCs w:val="20"/>
        </w:rPr>
        <w:t>potýká s</w:t>
      </w:r>
      <w:r w:rsidR="00171740">
        <w:rPr>
          <w:b/>
          <w:sz w:val="20"/>
          <w:szCs w:val="20"/>
        </w:rPr>
        <w:t xml:space="preserve"> problémy </w:t>
      </w:r>
      <w:r w:rsidR="008366B1">
        <w:rPr>
          <w:b/>
          <w:sz w:val="20"/>
          <w:szCs w:val="20"/>
        </w:rPr>
        <w:t>splácet svoje závazky.</w:t>
      </w:r>
      <w:r w:rsidR="00171740">
        <w:rPr>
          <w:b/>
          <w:sz w:val="20"/>
          <w:szCs w:val="20"/>
        </w:rPr>
        <w:t xml:space="preserve"> Hůř splácí jen </w:t>
      </w:r>
      <w:r w:rsidR="00370FC6">
        <w:rPr>
          <w:b/>
          <w:sz w:val="20"/>
          <w:szCs w:val="20"/>
        </w:rPr>
        <w:t>odběratelé</w:t>
      </w:r>
      <w:r w:rsidR="00171740">
        <w:rPr>
          <w:b/>
          <w:sz w:val="20"/>
          <w:szCs w:val="20"/>
        </w:rPr>
        <w:t xml:space="preserve"> ve zdravotnictví.</w:t>
      </w:r>
    </w:p>
    <w:p w:rsidR="004D3DCE" w:rsidRDefault="004D3DCE" w:rsidP="00F77130">
      <w:pPr>
        <w:rPr>
          <w:b/>
          <w:sz w:val="20"/>
          <w:szCs w:val="20"/>
        </w:rPr>
      </w:pPr>
    </w:p>
    <w:p w:rsidR="009603B6" w:rsidRDefault="009603B6" w:rsidP="00F77130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Stavaři platí průměrně za 96 dní od vystavení faktury</w:t>
      </w:r>
    </w:p>
    <w:p w:rsidR="00F80F6A" w:rsidRPr="00F80F6A" w:rsidRDefault="009603B6" w:rsidP="00F80F6A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Ve srovnání se stejným obdobím předchozích let je zřejmé, že se firmy podnikající ve stavebnictví dostaly ve schopnosti plnit své závazky výrazně pod úroveň jarního kvartálu krizového roku 2009</w:t>
      </w:r>
      <w:r w:rsidR="00171740">
        <w:rPr>
          <w:sz w:val="20"/>
          <w:szCs w:val="20"/>
        </w:rPr>
        <w:t xml:space="preserve">. </w:t>
      </w:r>
      <w:r w:rsidR="001E5207">
        <w:rPr>
          <w:sz w:val="20"/>
          <w:szCs w:val="20"/>
        </w:rPr>
        <w:t>Zatímco na jaře a v létě 2010 si polepšily, od té doby trvá negativní trend a platby výrazně váznou. Průměrně se dodavatelé svých peněz od stavařů dočkají za 96 dní – tedy 3</w:t>
      </w:r>
      <w:r w:rsidR="00725EC1">
        <w:rPr>
          <w:sz w:val="20"/>
          <w:szCs w:val="20"/>
        </w:rPr>
        <w:t xml:space="preserve">5 dní po splatnosti. </w:t>
      </w:r>
    </w:p>
    <w:p w:rsidR="00735915" w:rsidRDefault="00735915" w:rsidP="00F77130">
      <w:pPr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CCEB580" wp14:editId="1115B5C9">
            <wp:extent cx="5676900" cy="135255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5915" w:rsidRPr="004D3DCE" w:rsidRDefault="004D3DCE" w:rsidP="00735915">
      <w:pPr>
        <w:pStyle w:val="Odstavecseseznamem"/>
        <w:ind w:left="4968" w:firstLine="696"/>
        <w:rPr>
          <w:sz w:val="16"/>
          <w:szCs w:val="16"/>
        </w:rPr>
      </w:pPr>
      <w:r w:rsidRPr="004D3DCE">
        <w:rPr>
          <w:sz w:val="16"/>
          <w:szCs w:val="16"/>
        </w:rPr>
        <w:t>*dní po vystavení</w:t>
      </w:r>
      <w:r w:rsidR="00735915" w:rsidRPr="004D3DCE">
        <w:rPr>
          <w:sz w:val="16"/>
          <w:szCs w:val="16"/>
        </w:rPr>
        <w:t xml:space="preserve"> faktury, Zdroj: ČSOB Factoring</w:t>
      </w:r>
    </w:p>
    <w:p w:rsidR="00171740" w:rsidRPr="00663C79" w:rsidRDefault="00F80F6A" w:rsidP="00171740">
      <w:pPr>
        <w:jc w:val="both"/>
        <w:rPr>
          <w:i/>
          <w:color w:val="FF0000"/>
          <w:sz w:val="20"/>
          <w:szCs w:val="20"/>
        </w:rPr>
      </w:pPr>
      <w:r w:rsidRPr="00663C79">
        <w:rPr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01913E77" wp14:editId="3C16138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495550" cy="3128645"/>
            <wp:effectExtent l="0" t="0" r="0" b="14605"/>
            <wp:wrapSquare wrapText="bothSides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71740" w:rsidRPr="00663C79">
        <w:rPr>
          <w:i/>
          <w:color w:val="000000" w:themeColor="text1"/>
          <w:sz w:val="20"/>
          <w:szCs w:val="20"/>
        </w:rPr>
        <w:t xml:space="preserve">„Českému hospodářství se </w:t>
      </w:r>
      <w:r w:rsidR="00370FC6" w:rsidRPr="00663C79">
        <w:rPr>
          <w:i/>
          <w:color w:val="000000" w:themeColor="text1"/>
          <w:sz w:val="20"/>
          <w:szCs w:val="20"/>
        </w:rPr>
        <w:t>sice</w:t>
      </w:r>
      <w:r w:rsidR="00171740" w:rsidRPr="00663C79">
        <w:rPr>
          <w:i/>
          <w:color w:val="000000" w:themeColor="text1"/>
          <w:sz w:val="20"/>
          <w:szCs w:val="20"/>
        </w:rPr>
        <w:t xml:space="preserve"> daří </w:t>
      </w:r>
      <w:r w:rsidR="00370FC6" w:rsidRPr="00663C79">
        <w:rPr>
          <w:i/>
          <w:color w:val="000000" w:themeColor="text1"/>
          <w:sz w:val="20"/>
          <w:szCs w:val="20"/>
        </w:rPr>
        <w:t>lépe</w:t>
      </w:r>
      <w:r w:rsidR="00171740" w:rsidRPr="00663C79">
        <w:rPr>
          <w:i/>
          <w:color w:val="000000" w:themeColor="text1"/>
          <w:sz w:val="20"/>
          <w:szCs w:val="20"/>
        </w:rPr>
        <w:t xml:space="preserve">, </w:t>
      </w:r>
      <w:r w:rsidR="00370FC6" w:rsidRPr="00663C79">
        <w:rPr>
          <w:i/>
          <w:color w:val="000000" w:themeColor="text1"/>
          <w:sz w:val="20"/>
          <w:szCs w:val="20"/>
        </w:rPr>
        <w:t>ale stavebnictví patří k oborům, kde se pozitivní trend zatím neprojevil.</w:t>
      </w:r>
      <w:r w:rsidR="00171740" w:rsidRPr="00663C79">
        <w:rPr>
          <w:i/>
          <w:color w:val="000000" w:themeColor="text1"/>
          <w:sz w:val="20"/>
          <w:szCs w:val="20"/>
        </w:rPr>
        <w:t xml:space="preserve"> A to </w:t>
      </w:r>
      <w:r w:rsidR="00370FC6" w:rsidRPr="00663C79">
        <w:rPr>
          <w:i/>
          <w:color w:val="000000" w:themeColor="text1"/>
          <w:sz w:val="20"/>
          <w:szCs w:val="20"/>
        </w:rPr>
        <w:t>platí i pro</w:t>
      </w:r>
      <w:r w:rsidR="00171740" w:rsidRPr="00663C79">
        <w:rPr>
          <w:i/>
          <w:color w:val="000000" w:themeColor="text1"/>
          <w:sz w:val="20"/>
          <w:szCs w:val="20"/>
        </w:rPr>
        <w:t xml:space="preserve"> jejich schopnosti splácet závazky. Dá se očekávat, že ten</w:t>
      </w:r>
      <w:r w:rsidR="00370FC6" w:rsidRPr="00663C79">
        <w:rPr>
          <w:i/>
          <w:color w:val="000000" w:themeColor="text1"/>
          <w:sz w:val="20"/>
          <w:szCs w:val="20"/>
        </w:rPr>
        <w:t>to</w:t>
      </w:r>
      <w:r w:rsidR="00171740" w:rsidRPr="00663C79">
        <w:rPr>
          <w:i/>
          <w:color w:val="000000" w:themeColor="text1"/>
          <w:sz w:val="20"/>
          <w:szCs w:val="20"/>
        </w:rPr>
        <w:t xml:space="preserve"> negativní </w:t>
      </w:r>
      <w:r w:rsidR="00370FC6" w:rsidRPr="00663C79">
        <w:rPr>
          <w:i/>
          <w:color w:val="000000" w:themeColor="text1"/>
          <w:sz w:val="20"/>
          <w:szCs w:val="20"/>
        </w:rPr>
        <w:t>stav</w:t>
      </w:r>
      <w:r w:rsidR="00171740" w:rsidRPr="00663C79">
        <w:rPr>
          <w:i/>
          <w:color w:val="000000" w:themeColor="text1"/>
          <w:sz w:val="20"/>
          <w:szCs w:val="20"/>
        </w:rPr>
        <w:t xml:space="preserve"> bude ještě pokračovat“, upozornil Tomáš Morávek, předseda představenstva ČSOB Factoring. </w:t>
      </w:r>
    </w:p>
    <w:p w:rsidR="004D3DCE" w:rsidRDefault="004D3DCE" w:rsidP="00712FEF">
      <w:pPr>
        <w:jc w:val="both"/>
        <w:rPr>
          <w:b/>
          <w:sz w:val="20"/>
          <w:szCs w:val="20"/>
        </w:rPr>
      </w:pPr>
    </w:p>
    <w:p w:rsidR="00171740" w:rsidRDefault="00171740" w:rsidP="00712F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Hůř než stavebnictví dopadlo jen zdravotnictví</w:t>
      </w:r>
    </w:p>
    <w:p w:rsidR="00712FEF" w:rsidRDefault="00712FEF" w:rsidP="00974D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Úplně nejhorší platební morálku měly během letošního druhého kvartálu </w:t>
      </w:r>
      <w:r w:rsidR="00370FC6">
        <w:rPr>
          <w:sz w:val="20"/>
          <w:szCs w:val="20"/>
        </w:rPr>
        <w:t>opět</w:t>
      </w:r>
      <w:r>
        <w:rPr>
          <w:sz w:val="20"/>
          <w:szCs w:val="20"/>
        </w:rPr>
        <w:t xml:space="preserve"> </w:t>
      </w:r>
      <w:r w:rsidR="00370FC6">
        <w:rPr>
          <w:sz w:val="20"/>
          <w:szCs w:val="20"/>
        </w:rPr>
        <w:t>odběratelé</w:t>
      </w:r>
      <w:r>
        <w:rPr>
          <w:sz w:val="20"/>
          <w:szCs w:val="20"/>
        </w:rPr>
        <w:t xml:space="preserve"> ve zdravotnictví. </w:t>
      </w:r>
      <w:r w:rsidR="00370FC6">
        <w:rPr>
          <w:sz w:val="20"/>
          <w:szCs w:val="20"/>
        </w:rPr>
        <w:t>Platili své závazky</w:t>
      </w:r>
      <w:r>
        <w:rPr>
          <w:sz w:val="20"/>
          <w:szCs w:val="20"/>
        </w:rPr>
        <w:t xml:space="preserve"> v průměru 123 dní od vystavení faktury. Naopak o něco lépe než stavaři dopadly potravinářské firmy</w:t>
      </w:r>
      <w:r w:rsidR="00974DE0">
        <w:rPr>
          <w:sz w:val="20"/>
          <w:szCs w:val="20"/>
        </w:rPr>
        <w:t xml:space="preserve"> (68 resp. 10 dní)</w:t>
      </w:r>
      <w:r>
        <w:rPr>
          <w:sz w:val="20"/>
          <w:szCs w:val="20"/>
        </w:rPr>
        <w:t xml:space="preserve">; největší spoleh je potom na výrobce dopravních prostředků, kteří během jara platili jen 63 dní po datu vystavení faktury, </w:t>
      </w:r>
      <w:r w:rsidRPr="00663C79">
        <w:rPr>
          <w:i/>
          <w:color w:val="000000" w:themeColor="text1"/>
          <w:sz w:val="20"/>
          <w:szCs w:val="20"/>
        </w:rPr>
        <w:t xml:space="preserve">tedy </w:t>
      </w:r>
      <w:r w:rsidR="00974DE0" w:rsidRPr="00663C79">
        <w:rPr>
          <w:i/>
          <w:color w:val="000000" w:themeColor="text1"/>
          <w:sz w:val="20"/>
          <w:szCs w:val="20"/>
        </w:rPr>
        <w:t>4</w:t>
      </w:r>
      <w:r w:rsidRPr="00663C79">
        <w:rPr>
          <w:i/>
          <w:color w:val="000000" w:themeColor="text1"/>
          <w:sz w:val="20"/>
          <w:szCs w:val="20"/>
        </w:rPr>
        <w:t xml:space="preserve"> dny</w:t>
      </w:r>
      <w:r w:rsidRPr="00663C79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po splatnosti. </w:t>
      </w:r>
      <w:r w:rsidR="00974DE0">
        <w:rPr>
          <w:sz w:val="20"/>
          <w:szCs w:val="20"/>
        </w:rPr>
        <w:t>V maloobchodě se situace proti 2Q 2013 mírně zhoršila (78. resp. 18 dní)</w:t>
      </w:r>
    </w:p>
    <w:p w:rsidR="004D3DCE" w:rsidRPr="004D3DCE" w:rsidRDefault="004D3DCE" w:rsidP="00F7713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4D3DCE">
        <w:rPr>
          <w:sz w:val="16"/>
          <w:szCs w:val="16"/>
        </w:rPr>
        <w:t xml:space="preserve">      *po splatnosti faktury, zdroj: ČSOB Factoring</w:t>
      </w:r>
    </w:p>
    <w:p w:rsidR="00F77130" w:rsidRPr="004D3DCE" w:rsidRDefault="00F77130" w:rsidP="00F77130">
      <w:pPr>
        <w:rPr>
          <w:b/>
          <w:sz w:val="20"/>
          <w:szCs w:val="20"/>
        </w:rPr>
      </w:pPr>
      <w:r w:rsidRPr="004D3DCE">
        <w:rPr>
          <w:b/>
          <w:sz w:val="20"/>
          <w:szCs w:val="20"/>
        </w:rPr>
        <w:t>Platební morálka – platba po vystavení faktury (dle oborů)</w:t>
      </w:r>
    </w:p>
    <w:tbl>
      <w:tblPr>
        <w:tblW w:w="7671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925"/>
        <w:gridCol w:w="925"/>
        <w:gridCol w:w="925"/>
        <w:gridCol w:w="925"/>
        <w:gridCol w:w="925"/>
        <w:gridCol w:w="925"/>
      </w:tblGrid>
      <w:tr w:rsidR="00F77130" w:rsidRPr="0049782D" w:rsidTr="008844BE">
        <w:trPr>
          <w:trHeight w:val="7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77130" w:rsidRPr="0049782D" w:rsidRDefault="00F77130" w:rsidP="00884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2Q 2014</w:t>
            </w:r>
          </w:p>
        </w:tc>
      </w:tr>
      <w:tr w:rsidR="00F80F6A" w:rsidRPr="0049782D" w:rsidTr="00F80F6A">
        <w:trPr>
          <w:trHeight w:val="7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Stavebnictví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96</w:t>
            </w:r>
          </w:p>
        </w:tc>
      </w:tr>
      <w:tr w:rsidR="00F80F6A" w:rsidRPr="0049782D" w:rsidTr="008844BE">
        <w:trPr>
          <w:trHeight w:val="7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Maloobchod*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F80F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</w:t>
            </w:r>
          </w:p>
        </w:tc>
      </w:tr>
      <w:tr w:rsidR="00F80F6A" w:rsidRPr="0049782D" w:rsidTr="008844BE">
        <w:trPr>
          <w:trHeight w:val="7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4D3DCE" w:rsidP="00974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Výroba strojů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974DE0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F80F6A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978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974DE0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974DE0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974DE0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6A" w:rsidRPr="0049782D" w:rsidRDefault="00974DE0" w:rsidP="00974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74</w:t>
            </w:r>
          </w:p>
        </w:tc>
      </w:tr>
    </w:tbl>
    <w:p w:rsidR="00F77130" w:rsidRPr="006B4C37" w:rsidRDefault="00F77130" w:rsidP="00F77130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4DE0">
        <w:rPr>
          <w:sz w:val="20"/>
          <w:szCs w:val="20"/>
        </w:rPr>
        <w:tab/>
      </w:r>
      <w:r w:rsidR="00974DE0">
        <w:rPr>
          <w:sz w:val="20"/>
          <w:szCs w:val="20"/>
        </w:rPr>
        <w:tab/>
      </w:r>
      <w:r w:rsidR="00974DE0">
        <w:rPr>
          <w:sz w:val="20"/>
          <w:szCs w:val="20"/>
        </w:rPr>
        <w:tab/>
      </w:r>
      <w:r w:rsidR="00974DE0">
        <w:rPr>
          <w:sz w:val="20"/>
          <w:szCs w:val="20"/>
        </w:rPr>
        <w:tab/>
        <w:t xml:space="preserve">   </w:t>
      </w:r>
      <w:r w:rsidR="00974DE0">
        <w:rPr>
          <w:sz w:val="16"/>
          <w:szCs w:val="16"/>
        </w:rPr>
        <w:t>*kromě motorových vozidel, z</w:t>
      </w:r>
      <w:r w:rsidRPr="006B4C37">
        <w:rPr>
          <w:sz w:val="16"/>
          <w:szCs w:val="16"/>
        </w:rPr>
        <w:t>droj: ČSOB Factoring</w:t>
      </w:r>
    </w:p>
    <w:p w:rsidR="00F77130" w:rsidRPr="008A2E39" w:rsidRDefault="00F77130" w:rsidP="00F77130">
      <w:pPr>
        <w:pStyle w:val="Nadpis2"/>
        <w:rPr>
          <w:rFonts w:asciiTheme="minorHAnsi" w:hAnsiTheme="minorHAnsi"/>
          <w:color w:val="auto"/>
          <w:sz w:val="20"/>
          <w:szCs w:val="20"/>
        </w:rPr>
      </w:pPr>
      <w:r w:rsidRPr="008A2E39">
        <w:rPr>
          <w:rFonts w:asciiTheme="minorHAnsi" w:hAnsiTheme="minorHAnsi"/>
          <w:color w:val="auto"/>
          <w:sz w:val="20"/>
          <w:szCs w:val="20"/>
        </w:rPr>
        <w:lastRenderedPageBreak/>
        <w:t>Platební morálka přináší varování</w:t>
      </w:r>
      <w:r w:rsidR="003816E7">
        <w:rPr>
          <w:rFonts w:asciiTheme="minorHAnsi" w:hAnsiTheme="minorHAnsi"/>
          <w:color w:val="auto"/>
          <w:sz w:val="20"/>
          <w:szCs w:val="20"/>
        </w:rPr>
        <w:t xml:space="preserve"> při křehkém</w:t>
      </w:r>
      <w:r w:rsidRPr="008A2E39">
        <w:rPr>
          <w:rFonts w:asciiTheme="minorHAnsi" w:hAnsiTheme="minorHAnsi"/>
          <w:color w:val="auto"/>
          <w:sz w:val="20"/>
          <w:szCs w:val="20"/>
        </w:rPr>
        <w:t xml:space="preserve"> růstu</w:t>
      </w:r>
    </w:p>
    <w:p w:rsidR="00F77130" w:rsidRPr="008A2E39" w:rsidRDefault="00F77130" w:rsidP="00F77130">
      <w:pPr>
        <w:rPr>
          <w:sz w:val="20"/>
          <w:szCs w:val="20"/>
        </w:rPr>
      </w:pPr>
      <w:r w:rsidRPr="008A2E39">
        <w:rPr>
          <w:sz w:val="20"/>
          <w:szCs w:val="20"/>
        </w:rPr>
        <w:t xml:space="preserve">Index ČSOB Factoringu ovšem přináší varování. Od slibného </w:t>
      </w:r>
      <w:r>
        <w:rPr>
          <w:sz w:val="20"/>
          <w:szCs w:val="20"/>
        </w:rPr>
        <w:t xml:space="preserve">čtvrtého </w:t>
      </w:r>
      <w:r w:rsidRPr="008A2E39">
        <w:rPr>
          <w:sz w:val="20"/>
          <w:szCs w:val="20"/>
        </w:rPr>
        <w:t xml:space="preserve">čtvrtletí 2013, které předznamenalo růst, se platební morálka mírně zhoršila. Index návratnosti pohledávek se </w:t>
      </w:r>
      <w:r>
        <w:rPr>
          <w:sz w:val="20"/>
          <w:szCs w:val="20"/>
        </w:rPr>
        <w:t xml:space="preserve">ale </w:t>
      </w:r>
      <w:r w:rsidRPr="008A2E39">
        <w:rPr>
          <w:sz w:val="20"/>
          <w:szCs w:val="20"/>
        </w:rPr>
        <w:t>již dvě čtvrtletí drží na úrovni 5 (tj. 5 % nad dlouhodobým průměrem) a Index úhrad po splatnosti postupně roste, byť z dlouhodobě podprůměrných hodnot. Za poslední pololetí vzrostl Index úhrad po splatnosti o 10 procentních bodů.</w:t>
      </w:r>
    </w:p>
    <w:p w:rsidR="00F77130" w:rsidRPr="00423440" w:rsidRDefault="00F77130" w:rsidP="00F77130">
      <w:pPr>
        <w:rPr>
          <w:sz w:val="20"/>
          <w:szCs w:val="20"/>
        </w:rPr>
      </w:pPr>
    </w:p>
    <w:p w:rsidR="00F77130" w:rsidRDefault="00F77130" w:rsidP="00F77130">
      <w:r>
        <w:rPr>
          <w:noProof/>
          <w:lang w:eastAsia="cs-CZ"/>
        </w:rPr>
        <w:drawing>
          <wp:inline distT="0" distB="0" distL="0" distR="0" wp14:anchorId="3305C5DD" wp14:editId="7F847471">
            <wp:extent cx="5600700" cy="1981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130" w:rsidRPr="00F77130" w:rsidRDefault="00F77130" w:rsidP="00F77130"/>
    <w:p w:rsidR="00F77130" w:rsidRDefault="00F77130" w:rsidP="00F77130">
      <w:pPr>
        <w:rPr>
          <w:b/>
        </w:rPr>
      </w:pPr>
    </w:p>
    <w:p w:rsidR="00F77130" w:rsidRDefault="00F77130" w:rsidP="00F77130">
      <w:pPr>
        <w:rPr>
          <w:b/>
        </w:rPr>
      </w:pPr>
    </w:p>
    <w:p w:rsidR="00F77130" w:rsidRDefault="00F77130" w:rsidP="00F77130">
      <w:pPr>
        <w:rPr>
          <w:b/>
        </w:rPr>
      </w:pPr>
    </w:p>
    <w:p w:rsidR="00F77130" w:rsidRDefault="00F77130" w:rsidP="00F77130">
      <w:pPr>
        <w:rPr>
          <w:b/>
        </w:rPr>
      </w:pPr>
    </w:p>
    <w:sectPr w:rsidR="00F77130" w:rsidSect="00974DE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CE" w:rsidRDefault="004D3DCE" w:rsidP="004D3DCE">
      <w:pPr>
        <w:spacing w:after="0" w:line="240" w:lineRule="auto"/>
      </w:pPr>
      <w:r>
        <w:separator/>
      </w:r>
    </w:p>
  </w:endnote>
  <w:endnote w:type="continuationSeparator" w:id="0">
    <w:p w:rsidR="004D3DCE" w:rsidRDefault="004D3DCE" w:rsidP="004D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CE" w:rsidRDefault="004D3DCE" w:rsidP="004D3DCE">
      <w:pPr>
        <w:spacing w:after="0" w:line="240" w:lineRule="auto"/>
      </w:pPr>
      <w:r>
        <w:separator/>
      </w:r>
    </w:p>
  </w:footnote>
  <w:footnote w:type="continuationSeparator" w:id="0">
    <w:p w:rsidR="004D3DCE" w:rsidRDefault="004D3DCE" w:rsidP="004D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D11C2"/>
    <w:multiLevelType w:val="hybridMultilevel"/>
    <w:tmpl w:val="86587676"/>
    <w:lvl w:ilvl="0" w:tplc="2AE05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30"/>
    <w:rsid w:val="00171740"/>
    <w:rsid w:val="00187F46"/>
    <w:rsid w:val="001E5207"/>
    <w:rsid w:val="00370FC6"/>
    <w:rsid w:val="003816E7"/>
    <w:rsid w:val="004D3DCE"/>
    <w:rsid w:val="00663C79"/>
    <w:rsid w:val="00712FEF"/>
    <w:rsid w:val="00725EC1"/>
    <w:rsid w:val="00735915"/>
    <w:rsid w:val="00746B5F"/>
    <w:rsid w:val="00822957"/>
    <w:rsid w:val="008366B1"/>
    <w:rsid w:val="009603B6"/>
    <w:rsid w:val="00974DE0"/>
    <w:rsid w:val="00AF6BF0"/>
    <w:rsid w:val="00B00034"/>
    <w:rsid w:val="00B10BF4"/>
    <w:rsid w:val="00B123D8"/>
    <w:rsid w:val="00E46A4D"/>
    <w:rsid w:val="00F77130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1915-B953-4C01-822A-9049804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7713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713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71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359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DCE"/>
  </w:style>
  <w:style w:type="paragraph" w:styleId="Zpat">
    <w:name w:val="footer"/>
    <w:basedOn w:val="Normln"/>
    <w:link w:val="ZpatChar"/>
    <w:uiPriority w:val="99"/>
    <w:unhideWhenUsed/>
    <w:rsid w:val="004D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CE"/>
  </w:style>
  <w:style w:type="paragraph" w:styleId="Textbubliny">
    <w:name w:val="Balloon Text"/>
    <w:basedOn w:val="Normln"/>
    <w:link w:val="TextbublinyChar"/>
    <w:uiPriority w:val="99"/>
    <w:semiHidden/>
    <w:unhideWhenUsed/>
    <w:rsid w:val="0037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P</a:t>
            </a:r>
            <a:r>
              <a:rPr lang="cs-CZ" sz="1000"/>
              <a:t>latební morálka ve stavebnictví (2Q)*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2.9082774049217001E-2"/>
          <c:y val="0.19740740740740736"/>
          <c:w val="0.95078299776286357"/>
          <c:h val="0.58524642752989209"/>
        </c:manualLayout>
      </c:layout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List1!$A$1:$F$1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List1!$A$2:$F$2</c:f>
              <c:numCache>
                <c:formatCode>General</c:formatCode>
                <c:ptCount val="6"/>
                <c:pt idx="0">
                  <c:v>86</c:v>
                </c:pt>
                <c:pt idx="1">
                  <c:v>74</c:v>
                </c:pt>
                <c:pt idx="2">
                  <c:v>76</c:v>
                </c:pt>
                <c:pt idx="3">
                  <c:v>79</c:v>
                </c:pt>
                <c:pt idx="4">
                  <c:v>93</c:v>
                </c:pt>
                <c:pt idx="5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99-4E81-96F7-483EE46612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3167360"/>
        <c:axId val="113407488"/>
      </c:lineChart>
      <c:catAx>
        <c:axId val="11316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407488"/>
        <c:crosses val="autoZero"/>
        <c:auto val="1"/>
        <c:lblAlgn val="ctr"/>
        <c:lblOffset val="100"/>
        <c:noMultiLvlLbl val="0"/>
      </c:catAx>
      <c:valAx>
        <c:axId val="1134074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316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="1"/>
              <a:t>Počet dní po splatnosti (2Q)*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198032497846166"/>
          <c:y val="0.13072879793009434"/>
          <c:w val="0.82204003125563507"/>
          <c:h val="0.6695623824371252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List1!$A$1:$F$1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List1!$A$2:$F$2</c:f>
              <c:numCache>
                <c:formatCode>General</c:formatCode>
                <c:ptCount val="6"/>
                <c:pt idx="0">
                  <c:v>32</c:v>
                </c:pt>
                <c:pt idx="1">
                  <c:v>19</c:v>
                </c:pt>
                <c:pt idx="2">
                  <c:v>23</c:v>
                </c:pt>
                <c:pt idx="3">
                  <c:v>24</c:v>
                </c:pt>
                <c:pt idx="4">
                  <c:v>30</c:v>
                </c:pt>
                <c:pt idx="5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1C-4A2F-B74B-2639F741E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546368"/>
        <c:axId val="113547904"/>
      </c:lineChart>
      <c:catAx>
        <c:axId val="11354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547904"/>
        <c:crosses val="autoZero"/>
        <c:auto val="1"/>
        <c:lblAlgn val="ctr"/>
        <c:lblOffset val="100"/>
        <c:noMultiLvlLbl val="0"/>
      </c:catAx>
      <c:valAx>
        <c:axId val="11354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546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List1!$C$1</c:f>
              <c:strCache>
                <c:ptCount val="1"/>
                <c:pt idx="0">
                  <c:v>Návratnost pohledávek</c:v>
                </c:pt>
              </c:strCache>
            </c:strRef>
          </c:tx>
          <c:marker>
            <c:symbol val="none"/>
          </c:marker>
          <c:cat>
            <c:multiLvlStrRef>
              <c:f>List1!$A$2:$B$39</c:f>
              <c:multiLvlStrCache>
                <c:ptCount val="38"/>
                <c:lvl>
                  <c:pt idx="0">
                    <c:v>1Q</c:v>
                  </c:pt>
                  <c:pt idx="1">
                    <c:v>2Q</c:v>
                  </c:pt>
                  <c:pt idx="2">
                    <c:v>3Q</c:v>
                  </c:pt>
                  <c:pt idx="3">
                    <c:v>4Q</c:v>
                  </c:pt>
                  <c:pt idx="4">
                    <c:v>1Q</c:v>
                  </c:pt>
                  <c:pt idx="5">
                    <c:v>2Q</c:v>
                  </c:pt>
                  <c:pt idx="6">
                    <c:v>3Q</c:v>
                  </c:pt>
                  <c:pt idx="7">
                    <c:v>4Q</c:v>
                  </c:pt>
                  <c:pt idx="8">
                    <c:v>1Q</c:v>
                  </c:pt>
                  <c:pt idx="9">
                    <c:v>2Q</c:v>
                  </c:pt>
                  <c:pt idx="10">
                    <c:v>3Q</c:v>
                  </c:pt>
                  <c:pt idx="11">
                    <c:v>4Q</c:v>
                  </c:pt>
                  <c:pt idx="12">
                    <c:v>1Q</c:v>
                  </c:pt>
                  <c:pt idx="13">
                    <c:v>2Q</c:v>
                  </c:pt>
                  <c:pt idx="14">
                    <c:v>3Q</c:v>
                  </c:pt>
                  <c:pt idx="15">
                    <c:v>4Q</c:v>
                  </c:pt>
                  <c:pt idx="16">
                    <c:v>1Q</c:v>
                  </c:pt>
                  <c:pt idx="17">
                    <c:v>2Q</c:v>
                  </c:pt>
                  <c:pt idx="18">
                    <c:v>3Q</c:v>
                  </c:pt>
                  <c:pt idx="19">
                    <c:v>4Q</c:v>
                  </c:pt>
                  <c:pt idx="20">
                    <c:v>1Q</c:v>
                  </c:pt>
                  <c:pt idx="21">
                    <c:v>2Q</c:v>
                  </c:pt>
                  <c:pt idx="22">
                    <c:v>3Q</c:v>
                  </c:pt>
                  <c:pt idx="23">
                    <c:v>4Q</c:v>
                  </c:pt>
                  <c:pt idx="24">
                    <c:v>1Q</c:v>
                  </c:pt>
                  <c:pt idx="25">
                    <c:v>2Q</c:v>
                  </c:pt>
                  <c:pt idx="26">
                    <c:v>3Q</c:v>
                  </c:pt>
                  <c:pt idx="27">
                    <c:v>4Q</c:v>
                  </c:pt>
                  <c:pt idx="28">
                    <c:v>1Q</c:v>
                  </c:pt>
                  <c:pt idx="29">
                    <c:v>2Q</c:v>
                  </c:pt>
                  <c:pt idx="30">
                    <c:v>3Q</c:v>
                  </c:pt>
                  <c:pt idx="31">
                    <c:v>4Q</c:v>
                  </c:pt>
                  <c:pt idx="32">
                    <c:v>1Q</c:v>
                  </c:pt>
                  <c:pt idx="33">
                    <c:v>2Q</c:v>
                  </c:pt>
                  <c:pt idx="34">
                    <c:v>3Q</c:v>
                  </c:pt>
                  <c:pt idx="35">
                    <c:v>4Q</c:v>
                  </c:pt>
                  <c:pt idx="36">
                    <c:v>1Q</c:v>
                  </c:pt>
                  <c:pt idx="37">
                    <c:v>2Q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</c:lvl>
              </c:multiLvlStrCache>
            </c:multiLvlStrRef>
          </c:cat>
          <c:val>
            <c:numRef>
              <c:f>List1!$C$2:$C$39</c:f>
              <c:numCache>
                <c:formatCode>#,##0</c:formatCode>
                <c:ptCount val="38"/>
                <c:pt idx="0">
                  <c:v>3.7750132581428399</c:v>
                </c:pt>
                <c:pt idx="1">
                  <c:v>1.8925396528736946</c:v>
                </c:pt>
                <c:pt idx="2">
                  <c:v>1.2813280365924731</c:v>
                </c:pt>
                <c:pt idx="3">
                  <c:v>-1.5757842579396313</c:v>
                </c:pt>
                <c:pt idx="4">
                  <c:v>0.95293662209587537</c:v>
                </c:pt>
                <c:pt idx="5">
                  <c:v>-3.1217256586225539</c:v>
                </c:pt>
                <c:pt idx="6">
                  <c:v>-3.0684574500762549</c:v>
                </c:pt>
                <c:pt idx="7">
                  <c:v>-6.0451521462512421</c:v>
                </c:pt>
                <c:pt idx="8">
                  <c:v>-5.954091773774933</c:v>
                </c:pt>
                <c:pt idx="9">
                  <c:v>-4.0660466064949485</c:v>
                </c:pt>
                <c:pt idx="10">
                  <c:v>-6.1098945333079842</c:v>
                </c:pt>
                <c:pt idx="11">
                  <c:v>-3.5790785174095023</c:v>
                </c:pt>
                <c:pt idx="12">
                  <c:v>-7.5735698795489942E-2</c:v>
                </c:pt>
                <c:pt idx="13">
                  <c:v>-4.7200242861631398</c:v>
                </c:pt>
                <c:pt idx="14">
                  <c:v>-0.55732585217996067</c:v>
                </c:pt>
                <c:pt idx="15">
                  <c:v>4.7599596448619108</c:v>
                </c:pt>
                <c:pt idx="16">
                  <c:v>14.059443523479862</c:v>
                </c:pt>
                <c:pt idx="17">
                  <c:v>12.416538999532598</c:v>
                </c:pt>
                <c:pt idx="18">
                  <c:v>5.1608189536700477</c:v>
                </c:pt>
                <c:pt idx="19">
                  <c:v>-2.3835172512338443</c:v>
                </c:pt>
                <c:pt idx="20">
                  <c:v>3.0197487733498596</c:v>
                </c:pt>
                <c:pt idx="21">
                  <c:v>-1.4706756136734693</c:v>
                </c:pt>
                <c:pt idx="22">
                  <c:v>-2.0552381925696341</c:v>
                </c:pt>
                <c:pt idx="23">
                  <c:v>-6.9877115026148182</c:v>
                </c:pt>
                <c:pt idx="24">
                  <c:v>-5.7327417973608554</c:v>
                </c:pt>
                <c:pt idx="25">
                  <c:v>-4.3443308342358753</c:v>
                </c:pt>
                <c:pt idx="26">
                  <c:v>1.9224428400379541</c:v>
                </c:pt>
                <c:pt idx="27">
                  <c:v>2.5620110062385395</c:v>
                </c:pt>
                <c:pt idx="28">
                  <c:v>4.9337170129783665</c:v>
                </c:pt>
                <c:pt idx="29">
                  <c:v>5.111033648849328</c:v>
                </c:pt>
                <c:pt idx="30">
                  <c:v>4.9337170129783665</c:v>
                </c:pt>
                <c:pt idx="31">
                  <c:v>3.2932238787780346</c:v>
                </c:pt>
                <c:pt idx="32">
                  <c:v>7.4807870089987656</c:v>
                </c:pt>
                <c:pt idx="33">
                  <c:v>7.4807870089987656</c:v>
                </c:pt>
                <c:pt idx="34">
                  <c:v>5.602124748893524</c:v>
                </c:pt>
                <c:pt idx="35">
                  <c:v>2.3597601961222989</c:v>
                </c:pt>
                <c:pt idx="36">
                  <c:v>4.6890782555182779</c:v>
                </c:pt>
                <c:pt idx="37">
                  <c:v>4.6890782555182779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9C-4304-90C2-8E166D2F575A}"/>
            </c:ext>
          </c:extLst>
        </c:ser>
        <c:ser>
          <c:idx val="1"/>
          <c:order val="1"/>
          <c:tx>
            <c:strRef>
              <c:f>List1!$D$1</c:f>
              <c:strCache>
                <c:ptCount val="1"/>
                <c:pt idx="0">
                  <c:v>Úhrada po splatnosti</c:v>
                </c:pt>
              </c:strCache>
            </c:strRef>
          </c:tx>
          <c:marker>
            <c:symbol val="none"/>
          </c:marker>
          <c:cat>
            <c:multiLvlStrRef>
              <c:f>List1!$A$2:$B$39</c:f>
              <c:multiLvlStrCache>
                <c:ptCount val="38"/>
                <c:lvl>
                  <c:pt idx="0">
                    <c:v>1Q</c:v>
                  </c:pt>
                  <c:pt idx="1">
                    <c:v>2Q</c:v>
                  </c:pt>
                  <c:pt idx="2">
                    <c:v>3Q</c:v>
                  </c:pt>
                  <c:pt idx="3">
                    <c:v>4Q</c:v>
                  </c:pt>
                  <c:pt idx="4">
                    <c:v>1Q</c:v>
                  </c:pt>
                  <c:pt idx="5">
                    <c:v>2Q</c:v>
                  </c:pt>
                  <c:pt idx="6">
                    <c:v>3Q</c:v>
                  </c:pt>
                  <c:pt idx="7">
                    <c:v>4Q</c:v>
                  </c:pt>
                  <c:pt idx="8">
                    <c:v>1Q</c:v>
                  </c:pt>
                  <c:pt idx="9">
                    <c:v>2Q</c:v>
                  </c:pt>
                  <c:pt idx="10">
                    <c:v>3Q</c:v>
                  </c:pt>
                  <c:pt idx="11">
                    <c:v>4Q</c:v>
                  </c:pt>
                  <c:pt idx="12">
                    <c:v>1Q</c:v>
                  </c:pt>
                  <c:pt idx="13">
                    <c:v>2Q</c:v>
                  </c:pt>
                  <c:pt idx="14">
                    <c:v>3Q</c:v>
                  </c:pt>
                  <c:pt idx="15">
                    <c:v>4Q</c:v>
                  </c:pt>
                  <c:pt idx="16">
                    <c:v>1Q</c:v>
                  </c:pt>
                  <c:pt idx="17">
                    <c:v>2Q</c:v>
                  </c:pt>
                  <c:pt idx="18">
                    <c:v>3Q</c:v>
                  </c:pt>
                  <c:pt idx="19">
                    <c:v>4Q</c:v>
                  </c:pt>
                  <c:pt idx="20">
                    <c:v>1Q</c:v>
                  </c:pt>
                  <c:pt idx="21">
                    <c:v>2Q</c:v>
                  </c:pt>
                  <c:pt idx="22">
                    <c:v>3Q</c:v>
                  </c:pt>
                  <c:pt idx="23">
                    <c:v>4Q</c:v>
                  </c:pt>
                  <c:pt idx="24">
                    <c:v>1Q</c:v>
                  </c:pt>
                  <c:pt idx="25">
                    <c:v>2Q</c:v>
                  </c:pt>
                  <c:pt idx="26">
                    <c:v>3Q</c:v>
                  </c:pt>
                  <c:pt idx="27">
                    <c:v>4Q</c:v>
                  </c:pt>
                  <c:pt idx="28">
                    <c:v>1Q</c:v>
                  </c:pt>
                  <c:pt idx="29">
                    <c:v>2Q</c:v>
                  </c:pt>
                  <c:pt idx="30">
                    <c:v>3Q</c:v>
                  </c:pt>
                  <c:pt idx="31">
                    <c:v>4Q</c:v>
                  </c:pt>
                  <c:pt idx="32">
                    <c:v>1Q</c:v>
                  </c:pt>
                  <c:pt idx="33">
                    <c:v>2Q</c:v>
                  </c:pt>
                  <c:pt idx="34">
                    <c:v>3Q</c:v>
                  </c:pt>
                  <c:pt idx="35">
                    <c:v>4Q</c:v>
                  </c:pt>
                  <c:pt idx="36">
                    <c:v>1Q</c:v>
                  </c:pt>
                  <c:pt idx="37">
                    <c:v>2Q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</c:lvl>
              </c:multiLvlStrCache>
            </c:multiLvlStrRef>
          </c:cat>
          <c:val>
            <c:numRef>
              <c:f>List1!$D$2:$D$39</c:f>
              <c:numCache>
                <c:formatCode>#,##0</c:formatCode>
                <c:ptCount val="38"/>
                <c:pt idx="0">
                  <c:v>31.699129269339789</c:v>
                </c:pt>
                <c:pt idx="1">
                  <c:v>29.233042990456493</c:v>
                </c:pt>
                <c:pt idx="2">
                  <c:v>19.396940560812904</c:v>
                </c:pt>
                <c:pt idx="3">
                  <c:v>13.378678294086621</c:v>
                </c:pt>
                <c:pt idx="4">
                  <c:v>15.303562120962363</c:v>
                </c:pt>
                <c:pt idx="5">
                  <c:v>17.256908637383479</c:v>
                </c:pt>
                <c:pt idx="6">
                  <c:v>10.75979511534586</c:v>
                </c:pt>
                <c:pt idx="7">
                  <c:v>-2.7510590417882899</c:v>
                </c:pt>
                <c:pt idx="8">
                  <c:v>-4.0491060048517369</c:v>
                </c:pt>
                <c:pt idx="9">
                  <c:v>-6.6777355359961721</c:v>
                </c:pt>
                <c:pt idx="10">
                  <c:v>-12.302309737028768</c:v>
                </c:pt>
                <c:pt idx="11">
                  <c:v>-3.9169002397548578</c:v>
                </c:pt>
                <c:pt idx="12">
                  <c:v>3.914850344859464</c:v>
                </c:pt>
                <c:pt idx="13">
                  <c:v>-7.011256668013945</c:v>
                </c:pt>
                <c:pt idx="14">
                  <c:v>1.713965120292777</c:v>
                </c:pt>
                <c:pt idx="15">
                  <c:v>12.143298407481904</c:v>
                </c:pt>
                <c:pt idx="16">
                  <c:v>25.209746068008254</c:v>
                </c:pt>
                <c:pt idx="17">
                  <c:v>29.963014974123215</c:v>
                </c:pt>
                <c:pt idx="18">
                  <c:v>14.317925668580372</c:v>
                </c:pt>
                <c:pt idx="19">
                  <c:v>-12.270135188243655</c:v>
                </c:pt>
                <c:pt idx="20">
                  <c:v>-12.01232259005811</c:v>
                </c:pt>
                <c:pt idx="21">
                  <c:v>-16.440764521408092</c:v>
                </c:pt>
                <c:pt idx="22">
                  <c:v>-14.642350891291791</c:v>
                </c:pt>
                <c:pt idx="23">
                  <c:v>-27.985800367618381</c:v>
                </c:pt>
                <c:pt idx="24">
                  <c:v>-31.021391201397964</c:v>
                </c:pt>
                <c:pt idx="25">
                  <c:v>-28.661510619721813</c:v>
                </c:pt>
                <c:pt idx="26">
                  <c:v>-8.1712646176833221</c:v>
                </c:pt>
                <c:pt idx="27">
                  <c:v>-8.9264095753679111</c:v>
                </c:pt>
                <c:pt idx="28">
                  <c:v>-12.342528093014725</c:v>
                </c:pt>
                <c:pt idx="29">
                  <c:v>-15.108012678493148</c:v>
                </c:pt>
                <c:pt idx="30">
                  <c:v>-12.342528093014725</c:v>
                </c:pt>
                <c:pt idx="31">
                  <c:v>-11.541125945431906</c:v>
                </c:pt>
                <c:pt idx="32">
                  <c:v>-17.438384215736448</c:v>
                </c:pt>
                <c:pt idx="33">
                  <c:v>-11.541125945431906</c:v>
                </c:pt>
                <c:pt idx="34">
                  <c:v>-14.677472256006816</c:v>
                </c:pt>
                <c:pt idx="35">
                  <c:v>-26.875852148045777</c:v>
                </c:pt>
                <c:pt idx="36">
                  <c:v>-23.335642486040985</c:v>
                </c:pt>
                <c:pt idx="37">
                  <c:v>-17.438384215736448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9C-4304-90C2-8E166D2F5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617152"/>
        <c:axId val="113623040"/>
      </c:lineChart>
      <c:lineChart>
        <c:grouping val="standard"/>
        <c:varyColors val="0"/>
        <c:ser>
          <c:idx val="2"/>
          <c:order val="2"/>
          <c:tx>
            <c:strRef>
              <c:f>List1!$E$1</c:f>
              <c:strCache>
                <c:ptCount val="1"/>
                <c:pt idx="0">
                  <c:v>Čtvrtletní změna HDP (pravá osa)</c:v>
                </c:pt>
              </c:strCache>
            </c:strRef>
          </c:tx>
          <c:marker>
            <c:symbol val="none"/>
          </c:marker>
          <c:cat>
            <c:multiLvlStrRef>
              <c:f>List1!$A$2:$B$39</c:f>
              <c:multiLvlStrCache>
                <c:ptCount val="38"/>
                <c:lvl>
                  <c:pt idx="0">
                    <c:v>1Q</c:v>
                  </c:pt>
                  <c:pt idx="1">
                    <c:v>2Q</c:v>
                  </c:pt>
                  <c:pt idx="2">
                    <c:v>3Q</c:v>
                  </c:pt>
                  <c:pt idx="3">
                    <c:v>4Q</c:v>
                  </c:pt>
                  <c:pt idx="4">
                    <c:v>1Q</c:v>
                  </c:pt>
                  <c:pt idx="5">
                    <c:v>2Q</c:v>
                  </c:pt>
                  <c:pt idx="6">
                    <c:v>3Q</c:v>
                  </c:pt>
                  <c:pt idx="7">
                    <c:v>4Q</c:v>
                  </c:pt>
                  <c:pt idx="8">
                    <c:v>1Q</c:v>
                  </c:pt>
                  <c:pt idx="9">
                    <c:v>2Q</c:v>
                  </c:pt>
                  <c:pt idx="10">
                    <c:v>3Q</c:v>
                  </c:pt>
                  <c:pt idx="11">
                    <c:v>4Q</c:v>
                  </c:pt>
                  <c:pt idx="12">
                    <c:v>1Q</c:v>
                  </c:pt>
                  <c:pt idx="13">
                    <c:v>2Q</c:v>
                  </c:pt>
                  <c:pt idx="14">
                    <c:v>3Q</c:v>
                  </c:pt>
                  <c:pt idx="15">
                    <c:v>4Q</c:v>
                  </c:pt>
                  <c:pt idx="16">
                    <c:v>1Q</c:v>
                  </c:pt>
                  <c:pt idx="17">
                    <c:v>2Q</c:v>
                  </c:pt>
                  <c:pt idx="18">
                    <c:v>3Q</c:v>
                  </c:pt>
                  <c:pt idx="19">
                    <c:v>4Q</c:v>
                  </c:pt>
                  <c:pt idx="20">
                    <c:v>1Q</c:v>
                  </c:pt>
                  <c:pt idx="21">
                    <c:v>2Q</c:v>
                  </c:pt>
                  <c:pt idx="22">
                    <c:v>3Q</c:v>
                  </c:pt>
                  <c:pt idx="23">
                    <c:v>4Q</c:v>
                  </c:pt>
                  <c:pt idx="24">
                    <c:v>1Q</c:v>
                  </c:pt>
                  <c:pt idx="25">
                    <c:v>2Q</c:v>
                  </c:pt>
                  <c:pt idx="26">
                    <c:v>3Q</c:v>
                  </c:pt>
                  <c:pt idx="27">
                    <c:v>4Q</c:v>
                  </c:pt>
                  <c:pt idx="28">
                    <c:v>1Q</c:v>
                  </c:pt>
                  <c:pt idx="29">
                    <c:v>2Q</c:v>
                  </c:pt>
                  <c:pt idx="30">
                    <c:v>3Q</c:v>
                  </c:pt>
                  <c:pt idx="31">
                    <c:v>4Q</c:v>
                  </c:pt>
                  <c:pt idx="32">
                    <c:v>1Q</c:v>
                  </c:pt>
                  <c:pt idx="33">
                    <c:v>2Q</c:v>
                  </c:pt>
                  <c:pt idx="34">
                    <c:v>3Q</c:v>
                  </c:pt>
                  <c:pt idx="35">
                    <c:v>4Q</c:v>
                  </c:pt>
                  <c:pt idx="36">
                    <c:v>1Q</c:v>
                  </c:pt>
                  <c:pt idx="37">
                    <c:v>2Q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</c:lvl>
              </c:multiLvlStrCache>
            </c:multiLvlStrRef>
          </c:cat>
          <c:val>
            <c:numRef>
              <c:f>List1!$E$2:$E$39</c:f>
              <c:numCache>
                <c:formatCode>0.00%</c:formatCode>
                <c:ptCount val="38"/>
                <c:pt idx="0">
                  <c:v>5.6808148958319609E-3</c:v>
                </c:pt>
                <c:pt idx="1">
                  <c:v>1.1546409043202071E-2</c:v>
                </c:pt>
                <c:pt idx="2">
                  <c:v>1.2693120274406633E-2</c:v>
                </c:pt>
                <c:pt idx="3">
                  <c:v>1.8805513486963285E-2</c:v>
                </c:pt>
                <c:pt idx="4">
                  <c:v>1.709240747576253E-2</c:v>
                </c:pt>
                <c:pt idx="5">
                  <c:v>2.1182360870402466E-2</c:v>
                </c:pt>
                <c:pt idx="6">
                  <c:v>3.0090611506791029E-2</c:v>
                </c:pt>
                <c:pt idx="7">
                  <c:v>1.6927552422605588E-2</c:v>
                </c:pt>
                <c:pt idx="8">
                  <c:v>3.8663214037614267E-2</c:v>
                </c:pt>
                <c:pt idx="9">
                  <c:v>1.5076253401045006E-3</c:v>
                </c:pt>
                <c:pt idx="10">
                  <c:v>2.8823625988409759E-2</c:v>
                </c:pt>
                <c:pt idx="11">
                  <c:v>1.0214236962102842E-2</c:v>
                </c:pt>
                <c:pt idx="12">
                  <c:v>1.5464764799808732E-2</c:v>
                </c:pt>
                <c:pt idx="13">
                  <c:v>1.2218925302162198E-2</c:v>
                </c:pt>
                <c:pt idx="14">
                  <c:v>1.381801793943623E-2</c:v>
                </c:pt>
                <c:pt idx="15">
                  <c:v>-2.2415691496171869E-2</c:v>
                </c:pt>
                <c:pt idx="16">
                  <c:v>-1.5548384392942457E-3</c:v>
                </c:pt>
                <c:pt idx="17">
                  <c:v>-1.979524762948132E-2</c:v>
                </c:pt>
                <c:pt idx="18">
                  <c:v>-1.8306547963155664E-3</c:v>
                </c:pt>
                <c:pt idx="19">
                  <c:v>1.0748813254653137E-2</c:v>
                </c:pt>
                <c:pt idx="20">
                  <c:v>-5.5188645209485526E-3</c:v>
                </c:pt>
                <c:pt idx="21">
                  <c:v>1.2934230897681719E-2</c:v>
                </c:pt>
                <c:pt idx="22">
                  <c:v>3.6025597134806309E-3</c:v>
                </c:pt>
                <c:pt idx="23">
                  <c:v>-4.4366540889744892E-3</c:v>
                </c:pt>
                <c:pt idx="24">
                  <c:v>-2.3225705785235493E-3</c:v>
                </c:pt>
                <c:pt idx="25">
                  <c:v>6.5369353756413034E-3</c:v>
                </c:pt>
                <c:pt idx="26">
                  <c:v>6.3642977802647977E-3</c:v>
                </c:pt>
                <c:pt idx="27">
                  <c:v>4.9741122910022606E-3</c:v>
                </c:pt>
                <c:pt idx="28">
                  <c:v>9.2906799428233908E-4</c:v>
                </c:pt>
                <c:pt idx="29">
                  <c:v>-1.774480256703304E-3</c:v>
                </c:pt>
                <c:pt idx="30">
                  <c:v>-1.9417879201882569E-3</c:v>
                </c:pt>
                <c:pt idx="31">
                  <c:v>-1.7384135258981977E-3</c:v>
                </c:pt>
                <c:pt idx="32">
                  <c:v>9.1973104644954616E-4</c:v>
                </c:pt>
                <c:pt idx="33">
                  <c:v>4.35064353268921E-3</c:v>
                </c:pt>
                <c:pt idx="34">
                  <c:v>3.5880477244578509E-3</c:v>
                </c:pt>
                <c:pt idx="35">
                  <c:v>2.5677705161691093E-2</c:v>
                </c:pt>
                <c:pt idx="36">
                  <c:v>1.7707711904032506E-2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9C-4304-90C2-8E166D2F575A}"/>
            </c:ext>
          </c:extLst>
        </c:ser>
        <c:ser>
          <c:idx val="3"/>
          <c:order val="3"/>
          <c:tx>
            <c:strRef>
              <c:f>List1!$F$1</c:f>
              <c:strCache>
                <c:ptCount val="1"/>
                <c:pt idx="0">
                  <c:v>Meziroční změna HDP (pravá osa)</c:v>
                </c:pt>
              </c:strCache>
            </c:strRef>
          </c:tx>
          <c:marker>
            <c:symbol val="none"/>
          </c:marker>
          <c:cat>
            <c:multiLvlStrRef>
              <c:f>List1!$A$2:$B$39</c:f>
              <c:multiLvlStrCache>
                <c:ptCount val="38"/>
                <c:lvl>
                  <c:pt idx="0">
                    <c:v>1Q</c:v>
                  </c:pt>
                  <c:pt idx="1">
                    <c:v>2Q</c:v>
                  </c:pt>
                  <c:pt idx="2">
                    <c:v>3Q</c:v>
                  </c:pt>
                  <c:pt idx="3">
                    <c:v>4Q</c:v>
                  </c:pt>
                  <c:pt idx="4">
                    <c:v>1Q</c:v>
                  </c:pt>
                  <c:pt idx="5">
                    <c:v>2Q</c:v>
                  </c:pt>
                  <c:pt idx="6">
                    <c:v>3Q</c:v>
                  </c:pt>
                  <c:pt idx="7">
                    <c:v>4Q</c:v>
                  </c:pt>
                  <c:pt idx="8">
                    <c:v>1Q</c:v>
                  </c:pt>
                  <c:pt idx="9">
                    <c:v>2Q</c:v>
                  </c:pt>
                  <c:pt idx="10">
                    <c:v>3Q</c:v>
                  </c:pt>
                  <c:pt idx="11">
                    <c:v>4Q</c:v>
                  </c:pt>
                  <c:pt idx="12">
                    <c:v>1Q</c:v>
                  </c:pt>
                  <c:pt idx="13">
                    <c:v>2Q</c:v>
                  </c:pt>
                  <c:pt idx="14">
                    <c:v>3Q</c:v>
                  </c:pt>
                  <c:pt idx="15">
                    <c:v>4Q</c:v>
                  </c:pt>
                  <c:pt idx="16">
                    <c:v>1Q</c:v>
                  </c:pt>
                  <c:pt idx="17">
                    <c:v>2Q</c:v>
                  </c:pt>
                  <c:pt idx="18">
                    <c:v>3Q</c:v>
                  </c:pt>
                  <c:pt idx="19">
                    <c:v>4Q</c:v>
                  </c:pt>
                  <c:pt idx="20">
                    <c:v>1Q</c:v>
                  </c:pt>
                  <c:pt idx="21">
                    <c:v>2Q</c:v>
                  </c:pt>
                  <c:pt idx="22">
                    <c:v>3Q</c:v>
                  </c:pt>
                  <c:pt idx="23">
                    <c:v>4Q</c:v>
                  </c:pt>
                  <c:pt idx="24">
                    <c:v>1Q</c:v>
                  </c:pt>
                  <c:pt idx="25">
                    <c:v>2Q</c:v>
                  </c:pt>
                  <c:pt idx="26">
                    <c:v>3Q</c:v>
                  </c:pt>
                  <c:pt idx="27">
                    <c:v>4Q</c:v>
                  </c:pt>
                  <c:pt idx="28">
                    <c:v>1Q</c:v>
                  </c:pt>
                  <c:pt idx="29">
                    <c:v>2Q</c:v>
                  </c:pt>
                  <c:pt idx="30">
                    <c:v>3Q</c:v>
                  </c:pt>
                  <c:pt idx="31">
                    <c:v>4Q</c:v>
                  </c:pt>
                  <c:pt idx="32">
                    <c:v>1Q</c:v>
                  </c:pt>
                  <c:pt idx="33">
                    <c:v>2Q</c:v>
                  </c:pt>
                  <c:pt idx="34">
                    <c:v>3Q</c:v>
                  </c:pt>
                  <c:pt idx="35">
                    <c:v>4Q</c:v>
                  </c:pt>
                  <c:pt idx="36">
                    <c:v>1Q</c:v>
                  </c:pt>
                  <c:pt idx="37">
                    <c:v>2Q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</c:lvl>
              </c:multiLvlStrCache>
            </c:multiLvlStrRef>
          </c:cat>
          <c:val>
            <c:numRef>
              <c:f>List1!$F$2:$F$39</c:f>
              <c:numCache>
                <c:formatCode>0.00%</c:formatCode>
                <c:ptCount val="38"/>
                <c:pt idx="0">
                  <c:v>7.3324576256884239E-2</c:v>
                </c:pt>
                <c:pt idx="1">
                  <c:v>7.1385152576621383E-2</c:v>
                </c:pt>
                <c:pt idx="2">
                  <c:v>6.4982583855636031E-2</c:v>
                </c:pt>
                <c:pt idx="3">
                  <c:v>4.9578979271812033E-2</c:v>
                </c:pt>
                <c:pt idx="4">
                  <c:v>6.1488690101037628E-2</c:v>
                </c:pt>
                <c:pt idx="5">
                  <c:v>7.1600390158978122E-2</c:v>
                </c:pt>
                <c:pt idx="6">
                  <c:v>9.0009874749293936E-2</c:v>
                </c:pt>
                <c:pt idx="7">
                  <c:v>8.8000662905181964E-2</c:v>
                </c:pt>
                <c:pt idx="8">
                  <c:v>0.11107531341500146</c:v>
                </c:pt>
                <c:pt idx="9">
                  <c:v>8.9668644260384789E-2</c:v>
                </c:pt>
                <c:pt idx="10">
                  <c:v>8.8328379261665341E-2</c:v>
                </c:pt>
                <c:pt idx="11">
                  <c:v>8.1143706452677516E-2</c:v>
                </c:pt>
                <c:pt idx="12">
                  <c:v>5.6996459246898369E-2</c:v>
                </c:pt>
                <c:pt idx="13">
                  <c:v>6.8301222033883266E-2</c:v>
                </c:pt>
                <c:pt idx="14">
                  <c:v>5.2719824978893305E-2</c:v>
                </c:pt>
                <c:pt idx="15">
                  <c:v>1.8716965665639167E-2</c:v>
                </c:pt>
                <c:pt idx="16">
                  <c:v>1.6428542148197432E-3</c:v>
                </c:pt>
                <c:pt idx="17">
                  <c:v>-3.0036821741649688E-2</c:v>
                </c:pt>
                <c:pt idx="18">
                  <c:v>-4.5008578086190562E-2</c:v>
                </c:pt>
                <c:pt idx="19">
                  <c:v>-1.2610536021122333E-2</c:v>
                </c:pt>
                <c:pt idx="20">
                  <c:v>-1.6530668782189315E-2</c:v>
                </c:pt>
                <c:pt idx="21">
                  <c:v>1.6307815504254398E-2</c:v>
                </c:pt>
                <c:pt idx="22">
                  <c:v>2.1839760956346217E-2</c:v>
                </c:pt>
                <c:pt idx="23">
                  <c:v>6.4876634649258707E-3</c:v>
                </c:pt>
                <c:pt idx="24">
                  <c:v>9.7225467694832396E-3</c:v>
                </c:pt>
                <c:pt idx="25">
                  <c:v>3.3455349853843521E-3</c:v>
                </c:pt>
                <c:pt idx="26">
                  <c:v>6.1065657652362385E-3</c:v>
                </c:pt>
                <c:pt idx="27">
                  <c:v>1.5616994089727342E-2</c:v>
                </c:pt>
                <c:pt idx="28">
                  <c:v>1.8927101440852148E-2</c:v>
                </c:pt>
                <c:pt idx="29">
                  <c:v>1.0513374789107834E-2</c:v>
                </c:pt>
                <c:pt idx="30">
                  <c:v>2.1730444425666338E-3</c:v>
                </c:pt>
                <c:pt idx="31">
                  <c:v>-4.5207721956419967E-3</c:v>
                </c:pt>
                <c:pt idx="32">
                  <c:v>-4.5300583058328651E-3</c:v>
                </c:pt>
                <c:pt idx="33">
                  <c:v>1.5781572235237893E-3</c:v>
                </c:pt>
                <c:pt idx="34">
                  <c:v>7.1274954561826101E-3</c:v>
                </c:pt>
                <c:pt idx="35">
                  <c:v>3.4787106246663105E-2</c:v>
                </c:pt>
                <c:pt idx="36">
                  <c:v>5.2143129504572554E-2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9C-4304-90C2-8E166D2F5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626112"/>
        <c:axId val="113624576"/>
      </c:lineChart>
      <c:catAx>
        <c:axId val="11361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623040"/>
        <c:crosses val="autoZero"/>
        <c:auto val="1"/>
        <c:lblAlgn val="ctr"/>
        <c:lblOffset val="100"/>
        <c:noMultiLvlLbl val="0"/>
      </c:catAx>
      <c:valAx>
        <c:axId val="1136230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3617152"/>
        <c:crosses val="autoZero"/>
        <c:crossBetween val="between"/>
      </c:valAx>
      <c:valAx>
        <c:axId val="113624576"/>
        <c:scaling>
          <c:orientation val="maxMin"/>
          <c:max val="0.12000000000000001"/>
          <c:min val="-8.0000000000000016E-2"/>
        </c:scaling>
        <c:delete val="0"/>
        <c:axPos val="r"/>
        <c:numFmt formatCode="0%" sourceLinked="0"/>
        <c:majorTickMark val="out"/>
        <c:minorTickMark val="none"/>
        <c:tickLblPos val="nextTo"/>
        <c:crossAx val="113626112"/>
        <c:crosses val="max"/>
        <c:crossBetween val="between"/>
      </c:valAx>
      <c:catAx>
        <c:axId val="1136261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136245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fkramarz</dc:creator>
  <cp:lastModifiedBy>Michal Kovář</cp:lastModifiedBy>
  <cp:revision>2</cp:revision>
  <dcterms:created xsi:type="dcterms:W3CDTF">2019-10-15T13:12:00Z</dcterms:created>
  <dcterms:modified xsi:type="dcterms:W3CDTF">2019-10-15T13:12:00Z</dcterms:modified>
</cp:coreProperties>
</file>